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9EB4" w14:textId="33368104" w:rsidR="004D39F7" w:rsidRDefault="00C12FA9" w:rsidP="00C65ED5">
      <w:pPr>
        <w:pStyle w:val="Title"/>
      </w:pPr>
      <w:r>
        <w:t>Checklist</w:t>
      </w:r>
      <w:r>
        <w:rPr>
          <w:noProof/>
        </w:rPr>
        <w:t xml:space="preserve"> </w:t>
      </w:r>
      <w:r w:rsidR="004D39F7">
        <w:rPr>
          <w:noProof/>
        </w:rPr>
        <w:drawing>
          <wp:anchor distT="0" distB="0" distL="114300" distR="114300" simplePos="0" relativeHeight="251658240" behindDoc="0" locked="0" layoutInCell="1" allowOverlap="1" wp14:anchorId="5680E541" wp14:editId="6678439C">
            <wp:simplePos x="0" y="0"/>
            <wp:positionH relativeFrom="column">
              <wp:posOffset>5410200</wp:posOffset>
            </wp:positionH>
            <wp:positionV relativeFrom="paragraph">
              <wp:posOffset>-85724</wp:posOffset>
            </wp:positionV>
            <wp:extent cx="1409476" cy="529336"/>
            <wp:effectExtent l="0" t="0" r="635" b="4445"/>
            <wp:wrapNone/>
            <wp:docPr id="2094003572" name="Picture 2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03572" name="Picture 2" descr="A logo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476" cy="52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for </w:t>
      </w:r>
      <w:r w:rsidR="00182F51">
        <w:t>Preclinical Studies</w:t>
      </w:r>
    </w:p>
    <w:p w14:paraId="45D59E7D" w14:textId="55CCF1D3" w:rsidR="002C55CB" w:rsidRDefault="002C55CB" w:rsidP="002C55CB">
      <w:pPr>
        <w:pStyle w:val="Heading1"/>
      </w:pPr>
      <w:proofErr w:type="gramStart"/>
      <w:r>
        <w:t>Biologics</w:t>
      </w:r>
      <w:proofErr w:type="gramEnd"/>
    </w:p>
    <w:p w14:paraId="11F2C1A9" w14:textId="1383DB1A" w:rsidR="002C55CB" w:rsidRPr="002C55CB" w:rsidRDefault="002C55CB" w:rsidP="002C55CB">
      <w:pPr>
        <w:spacing w:after="80"/>
        <w:rPr>
          <w:b/>
          <w:bCs/>
          <w:sz w:val="14"/>
          <w:szCs w:val="14"/>
        </w:rPr>
      </w:pPr>
      <w:r w:rsidRPr="002C55CB">
        <w:rPr>
          <w:b/>
          <w:bCs/>
          <w:sz w:val="14"/>
          <w:szCs w:val="14"/>
        </w:rPr>
        <w:t>Notes</w:t>
      </w:r>
    </w:p>
    <w:p w14:paraId="100256F4" w14:textId="3364C933" w:rsidR="002C55CB" w:rsidRPr="002C55CB" w:rsidRDefault="002C55CB" w:rsidP="002C55CB">
      <w:pPr>
        <w:spacing w:after="80"/>
        <w:rPr>
          <w:sz w:val="14"/>
          <w:szCs w:val="14"/>
        </w:rPr>
      </w:pPr>
      <w:r w:rsidRPr="002C55CB">
        <w:rPr>
          <w:sz w:val="14"/>
          <w:szCs w:val="14"/>
        </w:rPr>
        <w:t>This workbook outlines technical/CMC, ADME, primary pharmacology, secondary pharmacology, and bioanalytical studies typically completed before a Pre-IND for biologics.</w:t>
      </w:r>
      <w:r w:rsidR="00FA7DFA">
        <w:rPr>
          <w:sz w:val="14"/>
          <w:szCs w:val="14"/>
        </w:rPr>
        <w:br/>
      </w:r>
      <w:r w:rsidR="00FA7DFA" w:rsidRPr="00FA7DFA">
        <w:rPr>
          <w:color w:val="FF0000"/>
          <w:sz w:val="14"/>
          <w:szCs w:val="14"/>
        </w:rPr>
        <w:t>N</w:t>
      </w:r>
      <w:r w:rsidRPr="00FA7DFA">
        <w:rPr>
          <w:color w:val="FF0000"/>
          <w:sz w:val="14"/>
          <w:szCs w:val="14"/>
        </w:rPr>
        <w:t>ote: Completion of all studies is not required; please indicate which studies have been completed.</w:t>
      </w:r>
    </w:p>
    <w:p w14:paraId="44DAC29C" w14:textId="062A9037" w:rsidR="002C55CB" w:rsidRPr="002C55CB" w:rsidRDefault="002C55CB" w:rsidP="002C55CB">
      <w:pPr>
        <w:spacing w:after="80"/>
        <w:rPr>
          <w:sz w:val="14"/>
          <w:szCs w:val="14"/>
        </w:rPr>
      </w:pPr>
      <w:r w:rsidRPr="002C55CB">
        <w:rPr>
          <w:sz w:val="14"/>
          <w:szCs w:val="14"/>
        </w:rPr>
        <w:t>Key references: ICH Q6B (specifications &amp; characterization), ICH S6(R1) (preclinical safety for biotech-derived pharmaceuticals), ICH S7A/S7B (pharmacology &amp; safety pharmacology), USP &lt;71&gt;/&lt;85&gt; (sterility &amp; endotoxin), FDA Bioanalytical Method Validation Guidance, and FDA Immunogenicity Assessment Guidance.</w:t>
      </w:r>
    </w:p>
    <w:p w14:paraId="79420047" w14:textId="1768ACA5" w:rsidR="002C55CB" w:rsidRDefault="002C55CB" w:rsidP="002C55CB">
      <w:pPr>
        <w:spacing w:after="80"/>
        <w:rPr>
          <w:sz w:val="14"/>
          <w:szCs w:val="14"/>
        </w:rPr>
      </w:pPr>
      <w:r w:rsidRPr="002C55CB">
        <w:rPr>
          <w:sz w:val="14"/>
          <w:szCs w:val="14"/>
        </w:rPr>
        <w:t>Phase-appropriate expectations: fit-for-purpose characterization and assays at Pre-IND, with GLP-compliant pivotal studies for IND submission as applicable; species selection must be pharmacologically relevant to the target.</w:t>
      </w:r>
    </w:p>
    <w:tbl>
      <w:tblPr>
        <w:tblW w:w="10790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01"/>
        <w:gridCol w:w="1321"/>
        <w:gridCol w:w="1373"/>
        <w:gridCol w:w="1040"/>
        <w:gridCol w:w="774"/>
        <w:gridCol w:w="1140"/>
        <w:gridCol w:w="872"/>
        <w:gridCol w:w="1214"/>
        <w:gridCol w:w="990"/>
        <w:gridCol w:w="1165"/>
      </w:tblGrid>
      <w:tr w:rsidR="002C55CB" w:rsidRPr="002C55CB" w14:paraId="4C757C2E" w14:textId="77777777" w:rsidTr="00C715F0">
        <w:trPr>
          <w:trHeight w:val="37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38558403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Category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43B6449A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Item/Study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427295CC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Purpose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40E98262" w14:textId="566956BB" w:rsidR="002C55CB" w:rsidRPr="002C55CB" w:rsidRDefault="002C55CB" w:rsidP="002C55CB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Key Outputs / Acceptance Criteria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593BCA2F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Species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65C84C15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Model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501BA7C1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Matrix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4FFF870E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Design Considerations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18ED0C2A" w14:textId="3F6F208A" w:rsidR="002C55CB" w:rsidRPr="002C55CB" w:rsidRDefault="002C55CB" w:rsidP="002C55CB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Reference / Guideline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56082" w:fill="156082"/>
            <w:vAlign w:val="center"/>
            <w:hideMark/>
          </w:tcPr>
          <w:p w14:paraId="58F86632" w14:textId="77777777" w:rsidR="002C55CB" w:rsidRPr="002C55CB" w:rsidRDefault="002C55CB" w:rsidP="002C55CB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Calibri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Notes</w:t>
            </w:r>
          </w:p>
        </w:tc>
      </w:tr>
      <w:tr w:rsidR="002C55CB" w:rsidRPr="002C55CB" w14:paraId="1A9B5A90" w14:textId="77777777" w:rsidTr="004D39F7">
        <w:trPr>
          <w:trHeight w:val="88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229DFC1" w14:textId="513FFCD4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CMC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B79D04C" w14:textId="17797602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69226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Molecular Identity &amp; Characterization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B38BDA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Confirm biologic identity and structure (primary sequence, PTMs, disulfides)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AD001B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Intact mass within tolerance; &gt;95% sequence coverage; expected PTMs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8DF7C5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0B0DBE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BF2359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5FFC76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091FF4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Q6B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BFA40F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Use orthogonal methods (LC–MS, peptide mapping)</w:t>
            </w:r>
          </w:p>
        </w:tc>
      </w:tr>
      <w:tr w:rsidR="002C55CB" w:rsidRPr="002C55CB" w14:paraId="236A770A" w14:textId="77777777" w:rsidTr="004D39F7">
        <w:trPr>
          <w:trHeight w:val="88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1270" w14:textId="6643C741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CMC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4182" w14:textId="4CC77194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21109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Purity &amp; Variants (Charge &amp; Size)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E48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Profile charge and size heterogeneity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FF4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Main peak purity; aggregates below phase-appropriate limits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4B0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893B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8B4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08E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E93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Q6B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F3D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IEX/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cIEF</w:t>
            </w:r>
            <w:proofErr w:type="spellEnd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; SEC/SEC–MALS</w:t>
            </w:r>
          </w:p>
        </w:tc>
      </w:tr>
      <w:tr w:rsidR="002C55CB" w:rsidRPr="002C55CB" w14:paraId="37396AAC" w14:textId="77777777" w:rsidTr="004D39F7">
        <w:trPr>
          <w:trHeight w:val="88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6657381" w14:textId="7AE2B4EC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CMC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D0CF088" w14:textId="1DE61CA6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66993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Glycosylation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47474F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Characterize glycan species impacting function/stability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2B8D0B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Relative abundance of key 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glycoforms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72D0A2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5EA464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79673F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1EBE61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1E595A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Q6B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FAC11F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Released N-glycan UHPLC/LC–MS</w:t>
            </w:r>
          </w:p>
        </w:tc>
      </w:tr>
      <w:tr w:rsidR="002C55CB" w:rsidRPr="002C55CB" w14:paraId="36BC0E69" w14:textId="77777777" w:rsidTr="004D39F7">
        <w:trPr>
          <w:trHeight w:val="88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28C5" w14:textId="3FA01216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CMC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D0B5" w14:textId="75C6EF49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58626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Functional Characterization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59A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Verify binding and cell-based biological activity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B0A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KD/kinetics; EC50/IC50 within expected ranges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133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29CC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5FA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B29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953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Q6B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1017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SPR/BLI/ELISA and potency assay (fit-for-purpose)</w:t>
            </w:r>
          </w:p>
        </w:tc>
      </w:tr>
      <w:tr w:rsidR="002C55CB" w:rsidRPr="002C55CB" w14:paraId="5D1EF939" w14:textId="77777777" w:rsidTr="004D39F7">
        <w:trPr>
          <w:trHeight w:val="88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78193A1" w14:textId="7E7DEAA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CMC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1097E3F" w14:textId="4E742678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22961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Impurities &amp; Safety (Compendial)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43D334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Quantify process-related impurities and microbial safety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AE4A5A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Sterile (USP &lt;71&gt;); endotoxin within limits (USP &lt;85&gt;); HCP/DNA below action limits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0B2B08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22A4CB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BCDA1A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ABF908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2189DD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USP &lt;71&gt;/&lt;85&gt;; FDA CBER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56BA17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Product-specific suitability for LAL</w:t>
            </w:r>
          </w:p>
        </w:tc>
      </w:tr>
      <w:tr w:rsidR="002C55CB" w:rsidRPr="002C55CB" w14:paraId="599B9EA2" w14:textId="77777777" w:rsidTr="004D39F7">
        <w:trPr>
          <w:trHeight w:val="88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DE1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ADME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F9A4" w14:textId="3D3F694F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81729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Biodistribution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F32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Determine tissue distribution and target organ exposure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F7B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Tissue concentration profiles; exposure vs plasma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8F8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Rodent ± NHP (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MoA</w:t>
            </w:r>
            <w:proofErr w:type="spellEnd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-dependent)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1CE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D05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6E34" w14:textId="248A9778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Radiolabeled/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tagged biologic; imaging/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quantitative assays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772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S6(R1)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670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Critical for restricted/BBB targets</w:t>
            </w:r>
          </w:p>
        </w:tc>
      </w:tr>
      <w:tr w:rsidR="002C55CB" w:rsidRPr="002C55CB" w14:paraId="35C0ACA2" w14:textId="77777777" w:rsidTr="004D39F7">
        <w:trPr>
          <w:trHeight w:val="88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2218917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ADME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B9501D6" w14:textId="6AA78739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00996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Excretion/</w:t>
            </w:r>
            <w:r w:rsidR="00220D66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Clearance Pathways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E74375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Identify dominant clearance routes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B7C2B8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% recovery by route; catabolic fate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59F680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Rodent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F65FFE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716047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2B67677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Urine/feces collections (if feasible)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CEB8B4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S6(R1)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34AC05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Large biologics often via proteolysis</w:t>
            </w:r>
          </w:p>
        </w:tc>
      </w:tr>
      <w:tr w:rsidR="002C55CB" w:rsidRPr="002C55CB" w14:paraId="2FB1F5D2" w14:textId="77777777" w:rsidTr="004D39F7">
        <w:trPr>
          <w:trHeight w:val="100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881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ADME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878A" w14:textId="620EF58C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91493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Metabolism/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Degradation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80E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Assess catabolic fragments and potential activity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6B4B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Fragment profiles; impact on PK/PD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17B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Rodent/NHP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219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BB0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E51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Sensitive LC–MS/ELISA; time-course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CD5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S6(R1)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485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Link immunogenicity risk</w:t>
            </w:r>
          </w:p>
        </w:tc>
      </w:tr>
      <w:tr w:rsidR="002C55CB" w:rsidRPr="002C55CB" w14:paraId="0BBF693F" w14:textId="77777777" w:rsidTr="004D39F7">
        <w:trPr>
          <w:trHeight w:val="127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930518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Primary Pharmacology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DB58D61" w14:textId="7B502CF2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85989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 vitro Target Engagement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8FD7F15" w14:textId="2F6CDD98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Demonstrate specific binding/activation/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inhibition at intended target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0010EF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Potency (EC50/IC50), Emax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3A8C8E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D2FA985" w14:textId="6B20B660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Biochemical/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cellular assays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887333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5C4FEB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Concentration-response; controls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16D0A6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S7A (pharmacology)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F35BDC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Define translational biomarkers</w:t>
            </w:r>
          </w:p>
        </w:tc>
      </w:tr>
      <w:tr w:rsidR="002C55CB" w:rsidRPr="002C55CB" w14:paraId="6F499D99" w14:textId="77777777" w:rsidTr="004D39F7">
        <w:trPr>
          <w:trHeight w:val="100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4E7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Primary Pharmacology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BDAA" w14:textId="6DB9AC3C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92973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 vivo Pharmacology (PoC Efficacy)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F07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Confirm pharmacological activity in relevant model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A03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Statistically significant efficacy; biomarker changes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D3B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F1B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Disease-relevant animal model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CCD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D3E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Dose-response; endpoints; PK/PD linkage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4A0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S6(R1); FDA nonclinical guidance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194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Species must be pharmacologically relevant</w:t>
            </w:r>
          </w:p>
        </w:tc>
      </w:tr>
      <w:tr w:rsidR="002C55CB" w:rsidRPr="002C55CB" w14:paraId="2B522277" w14:textId="77777777" w:rsidTr="004D39F7">
        <w:trPr>
          <w:trHeight w:val="100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62FF5BB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>Secondary Pharmacology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8F31094" w14:textId="67EE02E5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8134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Off-target Screening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FCFCB2B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Identify unintended pharmacological effects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1B1FC7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No concerning off-target signals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42E9AB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AF287F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Panels (receptors/enzymes) where relevant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55709F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727010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Tiered approach based on 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MoA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E5F6CB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S7A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DDB90E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Scope tailored to biologic modality</w:t>
            </w:r>
          </w:p>
        </w:tc>
      </w:tr>
      <w:tr w:rsidR="002C55CB" w:rsidRPr="002C55CB" w14:paraId="34FB5EE7" w14:textId="77777777" w:rsidTr="004D39F7">
        <w:trPr>
          <w:trHeight w:val="100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0C7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Secondary Pharmacology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2365" w14:textId="54BB4EC4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66841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Safety Pharmacology (Core Systems)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9317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Evaluate acute effects on vital organ systems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921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No unsafe acute effects at relevant exposures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CFF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5575" w14:textId="6A448DE3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CV/respiratory/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CNS assessments (as applicable)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51F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DF9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Align with tox; telemetry/respiratory monitoring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CD6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S7A; S7B (if applicable)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37A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Extent depends on 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MoA</w:t>
            </w:r>
            <w:proofErr w:type="spellEnd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/clinical risk</w:t>
            </w:r>
          </w:p>
        </w:tc>
      </w:tr>
      <w:tr w:rsidR="002C55CB" w:rsidRPr="002C55CB" w14:paraId="44851486" w14:textId="77777777" w:rsidTr="004D39F7">
        <w:trPr>
          <w:trHeight w:val="100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A7492F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Bioanalytical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536FFC5" w14:textId="16860AC6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98095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PK Method (Ligand-binding or LC–MS/MS)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39FF13F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Quantify drug in biological matrices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9ACC33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Validated fit-for-purpose PK assay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3C902F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182D71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381F9F2" w14:textId="3199BF01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Serum/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plasma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C5EB766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Selectivity, sensitivity, accuracy ±15% (±20% at LLOQ)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8AE688C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Bioanalytical Method Validation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5ED87F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Assess matrix effects, dilution integrity</w:t>
            </w:r>
          </w:p>
        </w:tc>
      </w:tr>
      <w:tr w:rsidR="002C55CB" w:rsidRPr="002C55CB" w14:paraId="47578DF4" w14:textId="77777777" w:rsidTr="004D39F7">
        <w:trPr>
          <w:trHeight w:val="100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28B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Bioanalytical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5AEE" w14:textId="7173BE44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70213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ADA/</w:t>
            </w:r>
            <w:r w:rsidR="00220D66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Immunogenicity Assay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389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Detect anti-drug antibodies and assess impact on PK/PD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15A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ADA incidence/titers; neutralizing vs binding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DAF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296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B314" w14:textId="630428AF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Serum/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plasma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C04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Tiered screening → confirmatory → titer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947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FDA Immunogenicity Assessment Guidance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A58B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Coordinate sampling with PK</w:t>
            </w:r>
          </w:p>
        </w:tc>
      </w:tr>
      <w:tr w:rsidR="002C55CB" w:rsidRPr="002C55CB" w14:paraId="3B08EAEB" w14:textId="77777777" w:rsidTr="004D39F7">
        <w:trPr>
          <w:trHeight w:val="100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4ED95EC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Bioanalytical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99D2EC4" w14:textId="2320E107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42893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Biomarker Assays (PD)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E17D93E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Measure pharmacodynamic biomarkers supporting </w:t>
            </w:r>
            <w:proofErr w:type="spellStart"/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MoA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3F5D04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Robust PD readouts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4844FD5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19B753D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917134D" w14:textId="51E94F2A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Blood/tissue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754C486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Clinical translatability; qualified assays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A82E360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S7A; FDA biomarker guidance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A599DD5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Supports dose selection</w:t>
            </w:r>
          </w:p>
        </w:tc>
      </w:tr>
      <w:tr w:rsidR="002C55CB" w:rsidRPr="002C55CB" w14:paraId="0CFDF4DE" w14:textId="77777777" w:rsidTr="004D39F7">
        <w:trPr>
          <w:trHeight w:val="138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FA7B" w14:textId="7E8EE4FB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CMC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3AF8" w14:textId="24CB3F9F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1537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Potency Assay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005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Confirm potency of DS to have consistent dose even from different batches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68B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Numerical value relative to reference standard or control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1804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26F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F56B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EC1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Qualified assay, eventual validation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804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Q6B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0888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When an appropriate potency assay is used for the drug product (section IV.B.4), an alternative method (physicochemical and/or biological) may suffice for quantitative assessment at the drug substance stage.</w:t>
            </w:r>
          </w:p>
        </w:tc>
      </w:tr>
      <w:tr w:rsidR="002C55CB" w:rsidRPr="002C55CB" w14:paraId="77F1034E" w14:textId="77777777" w:rsidTr="004D39F7">
        <w:trPr>
          <w:trHeight w:val="15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5A7A99D" w14:textId="4AF37282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Technical/</w:t>
            </w:r>
            <w:r w:rsidR="004D39F7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CMC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C22B206" w14:textId="11F5E345" w:rsidR="002C55CB" w:rsidRPr="002C55CB" w:rsidRDefault="00000000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202621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D66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C55CB"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Quantitative Assay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A143652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Confirm DS content and amt of DS in the DP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474ACB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Numerical value, will become a release specification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6B13133D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55D609CA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F426353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0E931EF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Qualified assay, eventual validation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0D2D5BF1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ICH Q6B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vAlign w:val="center"/>
            <w:hideMark/>
          </w:tcPr>
          <w:p w14:paraId="202CF649" w14:textId="77777777" w:rsidR="002C55CB" w:rsidRPr="002C55CB" w:rsidRDefault="002C55CB" w:rsidP="002C55C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2C55CB">
              <w:rPr>
                <w:rFonts w:ascii="Aptos Narrow" w:eastAsia="Times New Roman" w:hAnsi="Aptos Narrow" w:cs="Times New Roman"/>
                <w:color w:val="000000"/>
                <w:kern w:val="0"/>
                <w:sz w:val="14"/>
                <w:szCs w:val="14"/>
                <w14:ligatures w14:val="none"/>
              </w:rPr>
              <w:t>In cases where product manufacture is based upon potency, there may be no need for an alternate determination of quantity.</w:t>
            </w:r>
          </w:p>
        </w:tc>
      </w:tr>
    </w:tbl>
    <w:p w14:paraId="38B729AE" w14:textId="77777777" w:rsidR="008D411B" w:rsidRDefault="008D411B" w:rsidP="002C55CB">
      <w:pPr>
        <w:rPr>
          <w:sz w:val="14"/>
          <w:szCs w:val="14"/>
        </w:rPr>
      </w:pPr>
    </w:p>
    <w:sectPr w:rsidR="008D411B" w:rsidSect="002C55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B4"/>
    <w:rsid w:val="0000491D"/>
    <w:rsid w:val="00182F51"/>
    <w:rsid w:val="001B4B54"/>
    <w:rsid w:val="00220D66"/>
    <w:rsid w:val="00236C5D"/>
    <w:rsid w:val="0028379B"/>
    <w:rsid w:val="002C55CB"/>
    <w:rsid w:val="00466999"/>
    <w:rsid w:val="004D39F7"/>
    <w:rsid w:val="00525B7A"/>
    <w:rsid w:val="0053110F"/>
    <w:rsid w:val="00621668"/>
    <w:rsid w:val="006E4545"/>
    <w:rsid w:val="00723327"/>
    <w:rsid w:val="008D411B"/>
    <w:rsid w:val="00964A83"/>
    <w:rsid w:val="009F5687"/>
    <w:rsid w:val="00A5143A"/>
    <w:rsid w:val="00AF55FF"/>
    <w:rsid w:val="00BB27B4"/>
    <w:rsid w:val="00C11612"/>
    <w:rsid w:val="00C12FA9"/>
    <w:rsid w:val="00C65ED5"/>
    <w:rsid w:val="00C715F0"/>
    <w:rsid w:val="00DF10C1"/>
    <w:rsid w:val="00EE3791"/>
    <w:rsid w:val="00FA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23F5"/>
  <w15:chartTrackingRefBased/>
  <w15:docId w15:val="{39880771-C5D8-41EF-8D76-0E998E14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7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7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7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7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8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</cp:revision>
  <cp:lastPrinted>2026-01-16T16:39:00Z</cp:lastPrinted>
  <dcterms:created xsi:type="dcterms:W3CDTF">2026-01-12T20:32:00Z</dcterms:created>
  <dcterms:modified xsi:type="dcterms:W3CDTF">2026-01-29T16:36:00Z</dcterms:modified>
</cp:coreProperties>
</file>