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9EB4" w14:textId="33368104" w:rsidR="004D39F7" w:rsidRDefault="00C12FA9" w:rsidP="00C65ED5">
      <w:pPr>
        <w:pStyle w:val="Title"/>
      </w:pPr>
      <w:r>
        <w:t>Checklist</w:t>
      </w:r>
      <w:r>
        <w:rPr>
          <w:noProof/>
        </w:rPr>
        <w:t xml:space="preserve"> </w:t>
      </w:r>
      <w:r w:rsidR="004D39F7">
        <w:rPr>
          <w:noProof/>
        </w:rPr>
        <w:drawing>
          <wp:anchor distT="0" distB="0" distL="114300" distR="114300" simplePos="0" relativeHeight="251658240" behindDoc="0" locked="0" layoutInCell="1" allowOverlap="1" wp14:anchorId="5680E541" wp14:editId="6678439C">
            <wp:simplePos x="0" y="0"/>
            <wp:positionH relativeFrom="column">
              <wp:posOffset>5410200</wp:posOffset>
            </wp:positionH>
            <wp:positionV relativeFrom="paragraph">
              <wp:posOffset>-85724</wp:posOffset>
            </wp:positionV>
            <wp:extent cx="1409476" cy="529336"/>
            <wp:effectExtent l="0" t="0" r="635" b="4445"/>
            <wp:wrapNone/>
            <wp:docPr id="2094003572" name="Picture 2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03572" name="Picture 2" descr="A logo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476" cy="52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for </w:t>
      </w:r>
      <w:r w:rsidR="00182F51">
        <w:t>Preclinical Studies</w:t>
      </w:r>
    </w:p>
    <w:p w14:paraId="06A1A151" w14:textId="71908E20" w:rsidR="002C55CB" w:rsidRDefault="00FA7DFA" w:rsidP="00FA7DFA">
      <w:pPr>
        <w:pStyle w:val="Heading1"/>
      </w:pPr>
      <w:r>
        <w:t>Cell and Gene Therapy</w:t>
      </w:r>
    </w:p>
    <w:p w14:paraId="676EB28A" w14:textId="63197418" w:rsidR="00FA7DFA" w:rsidRPr="00FA7DFA" w:rsidRDefault="00FA7DFA" w:rsidP="00FA7DFA">
      <w:pPr>
        <w:spacing w:after="80"/>
        <w:rPr>
          <w:b/>
          <w:bCs/>
          <w:sz w:val="14"/>
          <w:szCs w:val="14"/>
        </w:rPr>
      </w:pPr>
      <w:r w:rsidRPr="00FA7DFA">
        <w:rPr>
          <w:b/>
          <w:bCs/>
          <w:sz w:val="14"/>
          <w:szCs w:val="14"/>
        </w:rPr>
        <w:t>Notes</w:t>
      </w:r>
    </w:p>
    <w:p w14:paraId="76DDEF11" w14:textId="352F25AD" w:rsidR="00FA7DFA" w:rsidRPr="00FA7DFA" w:rsidRDefault="00FA7DFA" w:rsidP="00FA7DFA">
      <w:pPr>
        <w:spacing w:after="80"/>
        <w:rPr>
          <w:sz w:val="14"/>
          <w:szCs w:val="14"/>
        </w:rPr>
      </w:pPr>
      <w:r w:rsidRPr="00FA7DFA">
        <w:rPr>
          <w:sz w:val="14"/>
          <w:szCs w:val="14"/>
        </w:rPr>
        <w:t>This CGT-focused checklist consolidates early-phase assays for viral gene therapies and cell therapies.</w:t>
      </w:r>
      <w:r>
        <w:rPr>
          <w:sz w:val="14"/>
          <w:szCs w:val="14"/>
        </w:rPr>
        <w:br/>
      </w:r>
      <w:r w:rsidRPr="00FA7DFA">
        <w:rPr>
          <w:color w:val="FF0000"/>
          <w:sz w:val="14"/>
          <w:szCs w:val="14"/>
        </w:rPr>
        <w:t>Note: Completion of all studies is not required; please indicate which studies have been completed.</w:t>
      </w:r>
    </w:p>
    <w:p w14:paraId="078233CC" w14:textId="3B2968F8" w:rsidR="00FA7DFA" w:rsidRDefault="00FA7DFA" w:rsidP="00FA7DFA">
      <w:pPr>
        <w:spacing w:after="80"/>
        <w:rPr>
          <w:sz w:val="14"/>
          <w:szCs w:val="14"/>
        </w:rPr>
      </w:pPr>
      <w:r w:rsidRPr="00FA7DFA">
        <w:rPr>
          <w:sz w:val="14"/>
          <w:szCs w:val="14"/>
        </w:rPr>
        <w:t xml:space="preserve">Key references: FDA Cellular &amp; Gene Therapy </w:t>
      </w:r>
      <w:proofErr w:type="spellStart"/>
      <w:r w:rsidRPr="00FA7DFA">
        <w:rPr>
          <w:sz w:val="14"/>
          <w:szCs w:val="14"/>
        </w:rPr>
        <w:t>Guidances</w:t>
      </w:r>
      <w:proofErr w:type="spellEnd"/>
      <w:r w:rsidRPr="00FA7DFA">
        <w:rPr>
          <w:sz w:val="14"/>
          <w:szCs w:val="14"/>
        </w:rPr>
        <w:t xml:space="preserve"> (e.g., CMC for Human Gene Therapy INDs, potency assurance), ICH Q5A(R2) viral safety (2023/2024), USP general chapters (&lt;71&gt;, &lt;85&gt;, &lt;63&gt;) and USP resources on rapid methods, plus peer/industry sources for AAV analytics and handling. Use phase-appropriate rigor: fit-for-purpose at Pre-IND, qualification in Phase I/II, full validation by BLA where applicable; align with FDA via INTERACT/Pre-IND.</w:t>
      </w:r>
    </w:p>
    <w:tbl>
      <w:tblPr>
        <w:tblW w:w="10795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75"/>
        <w:gridCol w:w="1080"/>
        <w:gridCol w:w="1260"/>
        <w:gridCol w:w="1170"/>
        <w:gridCol w:w="1080"/>
        <w:gridCol w:w="1350"/>
        <w:gridCol w:w="1440"/>
        <w:gridCol w:w="1170"/>
        <w:gridCol w:w="1170"/>
      </w:tblGrid>
      <w:tr w:rsidR="00C715F0" w:rsidRPr="00FA7DFA" w14:paraId="1AFB7565" w14:textId="77777777" w:rsidTr="0000491D">
        <w:trPr>
          <w:trHeight w:val="34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22BD8171" w14:textId="77777777" w:rsidR="00FA7DFA" w:rsidRPr="00FA7DFA" w:rsidRDefault="00FA7DFA" w:rsidP="00FA7DF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Modality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5B1B9973" w14:textId="77777777" w:rsidR="00FA7DFA" w:rsidRPr="00FA7DFA" w:rsidRDefault="00FA7DFA" w:rsidP="00FA7DF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Category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4CDAC2F8" w14:textId="77777777" w:rsidR="00FA7DFA" w:rsidRPr="00FA7DFA" w:rsidRDefault="00FA7DFA" w:rsidP="00FA7DF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Test/Technique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7F767709" w14:textId="77777777" w:rsidR="00FA7DFA" w:rsidRPr="00FA7DFA" w:rsidRDefault="00FA7DFA" w:rsidP="00FA7DF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Purpose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7EC19764" w14:textId="77777777" w:rsidR="00FA7DFA" w:rsidRPr="00FA7DFA" w:rsidRDefault="00FA7DFA" w:rsidP="00FA7DF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Phase Applicability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63D9D2BC" w14:textId="77777777" w:rsidR="00FA7DFA" w:rsidRPr="00FA7DFA" w:rsidRDefault="00FA7DFA" w:rsidP="00FA7DF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Sample Requirements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3676566E" w14:textId="67B29EA3" w:rsidR="00FA7DFA" w:rsidRPr="00FA7DFA" w:rsidRDefault="00FA7DFA" w:rsidP="00FA7DF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Key Output/</w:t>
            </w:r>
            <w:r w:rsidR="00C715F0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Acceptance Criteria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74DE9585" w14:textId="3246F85C" w:rsidR="00FA7DFA" w:rsidRPr="00FA7DFA" w:rsidRDefault="00FA7DFA" w:rsidP="00FA7DF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Reference/</w:t>
            </w:r>
            <w:r w:rsidR="00C715F0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Guideline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1A1B0E2C" w14:textId="77777777" w:rsidR="00FA7DFA" w:rsidRPr="00FA7DFA" w:rsidRDefault="00FA7DFA" w:rsidP="00FA7DF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Notes</w:t>
            </w:r>
          </w:p>
        </w:tc>
      </w:tr>
      <w:tr w:rsidR="00C715F0" w:rsidRPr="00FA7DFA" w14:paraId="7EABC1DD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BD35B24" w14:textId="5AC70F14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Gene Therapy (AAV/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AdV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/mRNA/DNA)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65C3771" w14:textId="3426A586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40541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Strength/</w:t>
            </w:r>
            <w:r w:rsidR="0000491D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Dose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AC7A8D8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Vector Genome Titer (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ddPCR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/qPCR)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8A52230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Dose setting and comparability across lots; robust across in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process and purified samples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21D5C5C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IND, Phase 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B6D15DB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DNase pretreatment; capsid lysis (viral vectors); validated primers for GOI/ITR or common elements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2EC43A2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vg/mL (or copies/mL) within target; method precision meeting internal criteria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CEB65DB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CGT CMC IND (2020); USP AAV PCR control; ICH Q5A(R2) risk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based testing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DAF71C0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Use particle controls for AAV; for non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viral vectors, ensure plasmid integrity control</w:t>
            </w:r>
          </w:p>
        </w:tc>
      </w:tr>
      <w:tr w:rsidR="00C715F0" w:rsidRPr="00FA7DFA" w14:paraId="69B7D9C9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49E0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Gene Therapy (AAV/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AdV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E354" w14:textId="25CB0804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54564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Capsid Content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D5E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Full/Empty/Partial Ratio (SV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AUC / CD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MS / AEX / SEC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MALS)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9DDC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Quantify empty, partial, full capsids; set process controls and limits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01CD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IND, Phase 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D922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High particle load (AUC); buffer exchange for CD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MS; chromatography setup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C804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% full, % partial, % empty; trending and phase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appropriate limits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130E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USP AAV8 empty/full app note; Waters CDMS; FDA/CBER discussions on empty capsids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AC2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Orthogonal methods recommended; consider platform limits by serotype</w:t>
            </w:r>
          </w:p>
        </w:tc>
      </w:tr>
      <w:tr w:rsidR="00C715F0" w:rsidRPr="00FA7DFA" w14:paraId="01398109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D2AE5C3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Gene Therapy (viral vectors)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1BD3958" w14:textId="71C2DFF6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10472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Potency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34D8DBB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Cell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based Transduction + Expression/Function (Assay Matrix)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143119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Demonstrate 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MoA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: gene transfer and biological effect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506590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Phase I (qualification), Phase II (tightening)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F91F121" w14:textId="53481C45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Relevant cell model; quantitative readouts (mRNA/protein/</w:t>
            </w:r>
            <w:r w:rsidR="00AF55FF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activity)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CDC506F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EC50/IC50, expression fold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change, functional activity within defined ranges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B069D2D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Potency Assurance (2023 Draft); Phase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appropriate potency development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7C87B93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Use assay matrix if single assay cannot capture both transfer and function</w:t>
            </w:r>
          </w:p>
        </w:tc>
      </w:tr>
      <w:tr w:rsidR="00C715F0" w:rsidRPr="00FA7DFA" w14:paraId="7460F447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E674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Gene Therapy (viral vectors)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9BC0" w14:textId="1608BC14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53947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Safety/</w:t>
            </w:r>
            <w:r w:rsidR="00C715F0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Impurities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EF28" w14:textId="7F246302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Replication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</w:r>
            <w:r w:rsidR="00C715F0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Competent Virus (e.g., 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rcAAV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, RCA for 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AdV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7790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Demonstrate absence of replication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competent contaminants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769D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IND, Phase 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4D12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Amplification on permissive cells + qPCR/readout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69F4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Not detected / below LOD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9B3E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CGT CMC IND; ICH Q5A(R2)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7F0E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Critical for helper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dependent systems; include controls</w:t>
            </w:r>
          </w:p>
        </w:tc>
      </w:tr>
      <w:tr w:rsidR="00C715F0" w:rsidRPr="00FA7DFA" w14:paraId="148CB8D3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68850D6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Gene Therapy (viral vectors)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692041F" w14:textId="162337DA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3932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Safety/</w:t>
            </w:r>
            <w:r w:rsidR="00C715F0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Adventitious Agents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AB5060E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Adventitious Virus Testing Strategy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DB63D6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Risk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based testing of banks/harvests and viral clearance (if applicable)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35E44A1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IND, Phase 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27B8E8F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MCB/WCB/LIVCA testing; bulk harvest panels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918D50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Panel negative/controlled; documented clearance steps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8B10F2F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ICH Q5A(R2); EMA/CHMP adoption; FDA CBER 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guidances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BA06D4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Plan INTERACT/Pre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 to align testing panels and clearance rationale</w:t>
            </w:r>
          </w:p>
        </w:tc>
      </w:tr>
      <w:tr w:rsidR="00C715F0" w:rsidRPr="00FA7DFA" w14:paraId="091DBA85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3870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Gene Therapy (viral vectors)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0CF5" w14:textId="31857ACE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04853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Residuals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FEFB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Residual Host Cell DNA &amp; Size Distribution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8CD9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Quantify residual DNA and demonstrate fragmentation control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1402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IND, Phase 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6CE4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qPCR/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ddPCR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; size analysis (capillary electrophoresis)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2A57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ng/dose within limits; majority &lt;200 bp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1856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Q5A(R2); FDA/EMA updates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4EB8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Include 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benzonase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verification and acceptance criteria</w:t>
            </w:r>
          </w:p>
        </w:tc>
      </w:tr>
      <w:tr w:rsidR="00C715F0" w:rsidRPr="00FA7DFA" w14:paraId="47F5C5D6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4893357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Gene Therapy (viral vectors)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E838532" w14:textId="64ACF598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411693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Residuals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6999AEC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Helper Plasmid DNA / Helper Virus Markers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DD8F559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Demonstrate clearance of process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related genetic impurities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7493838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EFE6A7F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Targeted qPCR/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ddPCR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(rep/cap/helper)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148862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Below action limits; consistent removal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64F0498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CGT CMC IND; ICH Q5A(R2)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0701C2D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Trend across unit operations</w:t>
            </w:r>
          </w:p>
        </w:tc>
      </w:tr>
      <w:tr w:rsidR="00C715F0" w:rsidRPr="00FA7DFA" w14:paraId="239B12F0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7444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Gene Therapy (all)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2029" w14:textId="77590D1F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213513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Sterility &amp; Pyrogen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74FF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Sterility (USP &lt;71&gt;) &amp; Endotoxin (USP &lt;85&gt;)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4C00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Ensure sterility and acceptable endotoxin burden for parenteral 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9576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Phase I release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9447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DP lots; validated sampling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3B6A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Sterile; endotoxin per dose within USP K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based limits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2043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USP &lt;71&gt;; FDA endotoxin points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to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consider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5A2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Run product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specific suitability for LAL method</w:t>
            </w:r>
          </w:p>
        </w:tc>
      </w:tr>
      <w:tr w:rsidR="00C715F0" w:rsidRPr="00FA7DFA" w14:paraId="1AC3554B" w14:textId="77777777" w:rsidTr="0000491D">
        <w:trPr>
          <w:trHeight w:val="6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F323E5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Gene Therapy (all)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58DFEC0" w14:textId="1947C3B3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03048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Mycoplasma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372C440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Mycoplasma (USP &lt;63&gt; or validated rapid PCR)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4DF7D13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Detect mycoplasma contamination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CCE3A16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Phase I release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E974552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Culture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based (28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day) or validated rapid PCR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C4B20D9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Not detected; validated LOD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937F84D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USP &lt;63&gt;; JCM 2023 rapid assay comparison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33D892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Rapid methods acceptable with validation and suitability</w:t>
            </w:r>
          </w:p>
        </w:tc>
      </w:tr>
      <w:tr w:rsidR="00C715F0" w:rsidRPr="00FA7DFA" w14:paraId="21D5C243" w14:textId="77777777" w:rsidTr="0000491D">
        <w:trPr>
          <w:trHeight w:val="6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D3AB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Gene Therapy (all)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3485" w14:textId="65066322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87560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Off-target effects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8D49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Next-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sequencing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017D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Detect off-target effects in other tissues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D553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C4D7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5754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Report, show any effect on downstream gene expression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08A8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recommendation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F863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wants detailed report</w:t>
            </w:r>
          </w:p>
        </w:tc>
      </w:tr>
      <w:tr w:rsidR="00C715F0" w:rsidRPr="00FA7DFA" w14:paraId="2F9C8E30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08A4515" w14:textId="6D659434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Cell Therapy (autologous/</w:t>
            </w:r>
            <w:r w:rsidR="00C715F0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allogeneic)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388E7B4" w14:textId="5EDF0F30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14565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Identity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62DE39E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Cell Identity/Phenotype (Flow cytometry, immunophenotyping)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9820EBA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Confirm product identity and expected phenotype (e.g., CAR expression, CD markers)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D7B9F61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IND, Phase 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A9E33B6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Qualified antibodies/panels; reference controls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232C766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% positive cells; MFI ranges; identity pass/fail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1187EAF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FDA CGT 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guidances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; industry practice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3C09EE5" w14:textId="4E367E82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Include viability gating and isotype/</w:t>
            </w:r>
            <w:r w:rsidR="00C715F0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compensation controls</w:t>
            </w:r>
          </w:p>
        </w:tc>
      </w:tr>
      <w:tr w:rsidR="00C715F0" w:rsidRPr="00FA7DFA" w14:paraId="0766E3DD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81FF" w14:textId="54918343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lastRenderedPageBreak/>
              <w:t>Cell Therapy (autologous/</w:t>
            </w:r>
            <w:r w:rsidR="00C715F0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allogeneic)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D875" w14:textId="2B1C7A47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61582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Potency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E74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Functional Potency (e.g., cytotoxicity, cytokine release, proliferation)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0D4C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Demonstrate biological activity aligned to 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MoA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(e.g., CAR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T killing)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DE2C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Phase I (qualification)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155A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Relevant target cells/assays; quantitative endpoints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EF98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EC50/response window; system suitability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622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Potency Assurance (2023 Draft)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3407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Assay matrix may be required for complex 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MoA</w:t>
            </w:r>
            <w:proofErr w:type="spellEnd"/>
          </w:p>
        </w:tc>
      </w:tr>
      <w:tr w:rsidR="00C715F0" w:rsidRPr="00FA7DFA" w14:paraId="38E57825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140374E" w14:textId="040851CB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Cell Therapy (autologous/</w:t>
            </w:r>
            <w:r w:rsidR="00C715F0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allogeneic)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79670A4" w14:textId="43F9C598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213282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Safety/</w:t>
            </w:r>
            <w:r w:rsidR="00C715F0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Impurities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16C447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Residuals (e.g., beads, cytokines, serum, DMSO)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18B002B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Quantify process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related residuals and ensure patient safety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C9225EC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IND, Phase 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DC5A056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Appropriate ELISA/HPLC/GC methods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1A4BAC4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Below phase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appropriate limits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79DBB88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FDA CGT CMC; USP </w:t>
            </w:r>
            <w:proofErr w:type="gram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micro QC</w:t>
            </w:r>
            <w:proofErr w:type="gram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resources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9303171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Include 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leachables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from disposables if applicable</w:t>
            </w:r>
          </w:p>
        </w:tc>
      </w:tr>
      <w:tr w:rsidR="00C715F0" w:rsidRPr="00FA7DFA" w14:paraId="4FE7199E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F0D7" w14:textId="1AA9ED7B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Cell Therapy (autologous/</w:t>
            </w:r>
            <w:r w:rsidR="00C715F0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allogeneic)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5A4C" w14:textId="47FC87F2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80791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Safety/</w:t>
            </w:r>
            <w:r w:rsidR="00C715F0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Microbial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E88D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Sterility (USP &lt;71&gt;) &amp; Endotoxin (USP &lt;85&gt;) &amp; Mycoplasma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6C59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Ensure sterility and low endotoxin for short shelf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life products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6761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Phase I release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ADEE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Rapid sterility/endotoxin methods may be needed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7E6B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Sterile; endotoxin within dose limits; mycoplasma ND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AB8E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USP &lt;71&gt;, &lt;85&gt;, &lt;63&gt;; USP evolving rapid methods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5AE0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Justify rapid methods and demonstrate suitability per USP &lt;1223&gt; if used</w:t>
            </w:r>
          </w:p>
        </w:tc>
      </w:tr>
      <w:tr w:rsidR="00C715F0" w:rsidRPr="00FA7DFA" w14:paraId="1E407807" w14:textId="77777777" w:rsidTr="0000491D">
        <w:trPr>
          <w:trHeight w:val="6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FCE9EDB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Cell Therapy (genetically modified cells)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4B13D4E" w14:textId="450BEAC6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58336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Genetic Safety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E89BC03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Vector Copy Number (VCN) &amp; Integration Site Analysis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4FEC7C3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Assess genetic modification burden and insertional risk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D42434E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IND, Phase 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21CDB68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qPCR/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ddPCR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for VCN; NGS for integration sites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819F6FB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VCN within defined range; no high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risk integrations identified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724B8A0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FDA CGT </w:t>
            </w:r>
            <w:proofErr w:type="spell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guidances</w:t>
            </w:r>
            <w:proofErr w:type="spell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; industry practice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6CBA9DE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Long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term follow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up plans per FDA guidance</w:t>
            </w:r>
          </w:p>
        </w:tc>
      </w:tr>
      <w:tr w:rsidR="00C715F0" w:rsidRPr="00FA7DFA" w14:paraId="0170AE2C" w14:textId="77777777" w:rsidTr="0000491D">
        <w:trPr>
          <w:trHeight w:val="9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57DF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CGT (all)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C9BF" w14:textId="57300B8F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20214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Stability &amp; Handling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8605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use/Shipping Stability (temperature excursions, hold times)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3B4B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Define handling windows for clinical sites and supply chain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7F0B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IND, Phase 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97D2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Stress studies (freeze–thaw, agitation, light) and real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world shipping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306D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Potency retention; aggregation/viability within limits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96F9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Frontiers AAV 2019; USP </w:t>
            </w:r>
            <w:proofErr w:type="gram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micro QC</w:t>
            </w:r>
            <w:proofErr w:type="gram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resources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8BF9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Document chain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of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identity/chain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of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custody controls</w:t>
            </w:r>
          </w:p>
        </w:tc>
      </w:tr>
      <w:tr w:rsidR="00C715F0" w:rsidRPr="00FA7DFA" w14:paraId="043D521B" w14:textId="77777777" w:rsidTr="0000491D">
        <w:trPr>
          <w:trHeight w:val="12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AD671E0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CGT (all)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FDB7870" w14:textId="7CE8C20F" w:rsidR="00FA7DFA" w:rsidRPr="00FA7DFA" w:rsidRDefault="00000000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30276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1D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FA7DFA"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Documentation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1A852BA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Reference Standard Qualification &amp; Method Lifecycle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17A9518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Establish internal reference materials and phase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appropriate method status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6B6864C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IND→BLA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34ADD82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proofErr w:type="gramStart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Well</w:t>
            </w:r>
            <w:proofErr w:type="gramEnd"/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characterized lots; traceable controls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A20C482" w14:textId="69B88A79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COA covering identity/purity/potency; method fit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for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purpose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→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qualification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→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validation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61F6180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CGT CMC; ICH Q5A(R2); FDA early</w:t>
            </w: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phase CMC talks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CEC6722" w14:textId="77777777" w:rsidR="00FA7DFA" w:rsidRPr="00FA7DFA" w:rsidRDefault="00FA7DFA" w:rsidP="00FA7D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FA7DFA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Plan comparability for process changes and platform methods</w:t>
            </w:r>
          </w:p>
        </w:tc>
      </w:tr>
    </w:tbl>
    <w:p w14:paraId="6321A1B0" w14:textId="77777777" w:rsidR="00FA7DFA" w:rsidRPr="002C55CB" w:rsidRDefault="00FA7DFA" w:rsidP="002C55CB">
      <w:pPr>
        <w:rPr>
          <w:sz w:val="14"/>
          <w:szCs w:val="14"/>
        </w:rPr>
      </w:pPr>
    </w:p>
    <w:sectPr w:rsidR="00FA7DFA" w:rsidRPr="002C55CB" w:rsidSect="002C55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B4"/>
    <w:rsid w:val="0000491D"/>
    <w:rsid w:val="00182F51"/>
    <w:rsid w:val="001B4B54"/>
    <w:rsid w:val="00220D66"/>
    <w:rsid w:val="00236C5D"/>
    <w:rsid w:val="0028379B"/>
    <w:rsid w:val="002C55CB"/>
    <w:rsid w:val="00466999"/>
    <w:rsid w:val="004D39F7"/>
    <w:rsid w:val="00525B7A"/>
    <w:rsid w:val="00621668"/>
    <w:rsid w:val="006E4545"/>
    <w:rsid w:val="00723327"/>
    <w:rsid w:val="00964A83"/>
    <w:rsid w:val="009D552A"/>
    <w:rsid w:val="009F5687"/>
    <w:rsid w:val="00A5143A"/>
    <w:rsid w:val="00AF55FF"/>
    <w:rsid w:val="00BB27B4"/>
    <w:rsid w:val="00C11612"/>
    <w:rsid w:val="00C12FA9"/>
    <w:rsid w:val="00C65ED5"/>
    <w:rsid w:val="00C715F0"/>
    <w:rsid w:val="00EE3791"/>
    <w:rsid w:val="00FA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123F5"/>
  <w15:chartTrackingRefBased/>
  <w15:docId w15:val="{39880771-C5D8-41EF-8D76-0E998E14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7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7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7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7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7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7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7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7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7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8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2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cp:lastPrinted>2026-01-16T16:39:00Z</cp:lastPrinted>
  <dcterms:created xsi:type="dcterms:W3CDTF">2026-01-12T20:32:00Z</dcterms:created>
  <dcterms:modified xsi:type="dcterms:W3CDTF">2026-01-29T16:36:00Z</dcterms:modified>
</cp:coreProperties>
</file>