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9EB4" w14:textId="33368104" w:rsidR="004D39F7" w:rsidRDefault="00C12FA9" w:rsidP="00C65ED5">
      <w:pPr>
        <w:pStyle w:val="Title"/>
      </w:pPr>
      <w:r>
        <w:t>Checklist</w:t>
      </w:r>
      <w:r>
        <w:rPr>
          <w:noProof/>
        </w:rPr>
        <w:t xml:space="preserve"> </w:t>
      </w:r>
      <w:r w:rsidR="004D39F7">
        <w:rPr>
          <w:noProof/>
        </w:rPr>
        <w:drawing>
          <wp:anchor distT="0" distB="0" distL="114300" distR="114300" simplePos="0" relativeHeight="251658240" behindDoc="0" locked="0" layoutInCell="1" allowOverlap="1" wp14:anchorId="5680E541" wp14:editId="6678439C">
            <wp:simplePos x="0" y="0"/>
            <wp:positionH relativeFrom="column">
              <wp:posOffset>5410200</wp:posOffset>
            </wp:positionH>
            <wp:positionV relativeFrom="paragraph">
              <wp:posOffset>-85724</wp:posOffset>
            </wp:positionV>
            <wp:extent cx="1409476" cy="529336"/>
            <wp:effectExtent l="0" t="0" r="635" b="4445"/>
            <wp:wrapNone/>
            <wp:docPr id="2094003572" name="Picture 2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03572" name="Picture 2" descr="A logo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476" cy="52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for </w:t>
      </w:r>
      <w:r w:rsidR="00182F51">
        <w:t>Preclinical Studies</w:t>
      </w:r>
    </w:p>
    <w:p w14:paraId="7C6F2D90" w14:textId="787CD2D8" w:rsidR="00EE3791" w:rsidRPr="002C55CB" w:rsidRDefault="002C55CB" w:rsidP="002C55CB">
      <w:pPr>
        <w:pStyle w:val="Heading1"/>
      </w:pPr>
      <w:r w:rsidRPr="002C55CB">
        <w:t>Small Molecule</w:t>
      </w:r>
    </w:p>
    <w:p w14:paraId="5DEB5B40" w14:textId="1C2DDEAA" w:rsidR="002C55CB" w:rsidRPr="002C55CB" w:rsidRDefault="002C55CB" w:rsidP="002C55CB">
      <w:pPr>
        <w:spacing w:after="80"/>
        <w:rPr>
          <w:b/>
          <w:bCs/>
          <w:sz w:val="14"/>
          <w:szCs w:val="14"/>
        </w:rPr>
      </w:pPr>
      <w:r w:rsidRPr="002C55CB">
        <w:rPr>
          <w:b/>
          <w:bCs/>
          <w:sz w:val="14"/>
          <w:szCs w:val="14"/>
        </w:rPr>
        <w:t>Notes</w:t>
      </w:r>
    </w:p>
    <w:p w14:paraId="10AE818C" w14:textId="23505514" w:rsidR="002C55CB" w:rsidRPr="002C55CB" w:rsidRDefault="002C55CB" w:rsidP="002C55CB">
      <w:pPr>
        <w:spacing w:after="80"/>
        <w:rPr>
          <w:sz w:val="14"/>
          <w:szCs w:val="14"/>
        </w:rPr>
      </w:pPr>
      <w:r w:rsidRPr="002C55CB">
        <w:rPr>
          <w:sz w:val="14"/>
          <w:szCs w:val="14"/>
        </w:rPr>
        <w:t xml:space="preserve">This workbook separates the small molecule pre-IND checklist into category-specific tabs: Technical/CMC (Drug Substance &amp; Drug Product), Bioanalytical, Pharmacology (Primary &amp; Secondary), Animal Efficacy, PK, ADME, and Toxicology context. </w:t>
      </w:r>
      <w:r w:rsidRPr="00FA7DFA">
        <w:rPr>
          <w:color w:val="FF0000"/>
          <w:sz w:val="14"/>
          <w:szCs w:val="14"/>
        </w:rPr>
        <w:t>Note: Completion of all studies is not required; please indicate which studies have been completed.</w:t>
      </w:r>
    </w:p>
    <w:p w14:paraId="426BAC62" w14:textId="11AC8AAA" w:rsidR="002C55CB" w:rsidRPr="002C55CB" w:rsidRDefault="002C55CB" w:rsidP="002C55CB">
      <w:pPr>
        <w:spacing w:after="80"/>
        <w:rPr>
          <w:sz w:val="14"/>
          <w:szCs w:val="14"/>
        </w:rPr>
      </w:pPr>
      <w:r w:rsidRPr="002C55CB">
        <w:rPr>
          <w:sz w:val="14"/>
          <w:szCs w:val="14"/>
        </w:rPr>
        <w:t>References include ICH Q1A(R2)/Q1B, Q3A/Q3B/Q3C, Q6A, Q8/Q11, ICH S7A/S7B, ICH S2(R1), ICH M3(R2), FDA Bioanalytical Method Validation Guidance, FDA MIST, and USP &lt;711&gt;.</w:t>
      </w:r>
    </w:p>
    <w:tbl>
      <w:tblPr>
        <w:tblW w:w="1079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38"/>
        <w:gridCol w:w="2737"/>
        <w:gridCol w:w="1440"/>
        <w:gridCol w:w="2101"/>
        <w:gridCol w:w="1520"/>
        <w:gridCol w:w="1959"/>
      </w:tblGrid>
      <w:tr w:rsidR="002C55CB" w:rsidRPr="002C55CB" w14:paraId="15E2B443" w14:textId="77777777" w:rsidTr="008C5450">
        <w:trPr>
          <w:trHeight w:val="179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tcMar>
              <w:top w:w="29" w:type="dxa"/>
              <w:bottom w:w="29" w:type="dxa"/>
            </w:tcMar>
            <w:vAlign w:val="center"/>
            <w:hideMark/>
          </w:tcPr>
          <w:p w14:paraId="5CC0307A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Category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tcMar>
              <w:top w:w="29" w:type="dxa"/>
              <w:bottom w:w="29" w:type="dxa"/>
            </w:tcMar>
            <w:vAlign w:val="center"/>
            <w:hideMark/>
          </w:tcPr>
          <w:p w14:paraId="5410B05B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Item/Study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tcMar>
              <w:top w:w="29" w:type="dxa"/>
              <w:bottom w:w="29" w:type="dxa"/>
            </w:tcMar>
            <w:vAlign w:val="center"/>
            <w:hideMark/>
          </w:tcPr>
          <w:p w14:paraId="1F4A6C73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Purpose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tcMar>
              <w:top w:w="29" w:type="dxa"/>
              <w:bottom w:w="29" w:type="dxa"/>
            </w:tcMar>
            <w:vAlign w:val="center"/>
            <w:hideMark/>
          </w:tcPr>
          <w:p w14:paraId="052F4602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Key Outputs/Acceptance Criteria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tcMar>
              <w:top w:w="29" w:type="dxa"/>
              <w:bottom w:w="29" w:type="dxa"/>
            </w:tcMar>
            <w:vAlign w:val="center"/>
            <w:hideMark/>
          </w:tcPr>
          <w:p w14:paraId="019D601F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Reference/Guideline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tcMar>
              <w:top w:w="29" w:type="dxa"/>
              <w:bottom w:w="29" w:type="dxa"/>
            </w:tcMar>
            <w:vAlign w:val="center"/>
            <w:hideMark/>
          </w:tcPr>
          <w:p w14:paraId="0D7D2AE1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2C55CB" w:rsidRPr="002C55CB" w14:paraId="602DA276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52A280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Substance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D4D45EE" w14:textId="790B8127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35280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Chemical Identity &amp; Structure (IR, NMR, MS)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88086F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Confirm API identity, structure, stereochemistry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5C6056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Spectra match reference; no unexpected peaks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8CA694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Q6A; FDA Analytical Procedures Guidance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8354F3C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Include chiral purity if applicable</w:t>
            </w:r>
          </w:p>
        </w:tc>
      </w:tr>
      <w:tr w:rsidR="002C55CB" w:rsidRPr="002C55CB" w14:paraId="756DA752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77C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Substance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4717" w14:textId="66389862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45277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Synthetic Route &amp; Process Description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E94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Define manufacturing steps and critical controls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9A1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Documented process with identified CPPs/CMAs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1E2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Q11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B34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Provide impurity generation points</w:t>
            </w:r>
          </w:p>
        </w:tc>
      </w:tr>
      <w:tr w:rsidR="002C55CB" w:rsidRPr="002C55CB" w14:paraId="149A0F00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AB8F0A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Substance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3F4CD85" w14:textId="0D8D7B62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6408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Impurity Profile (Related Substances)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17D508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process/degradation impurities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F86B2B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Impurities ≤ phase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 limits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D8208D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Q3A/Q3B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09AFAF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Track under stress conditions</w:t>
            </w:r>
          </w:p>
        </w:tc>
      </w:tr>
      <w:tr w:rsidR="002C55CB" w:rsidRPr="002C55CB" w14:paraId="2A24131D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3AD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Substance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C4D0" w14:textId="6869531A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45212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Residual Solvents (GC)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571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Class 1–3 solvents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42F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Below ICH Q3C limits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565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Q3C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4CC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Demonstrate method suitability</w:t>
            </w:r>
          </w:p>
        </w:tc>
      </w:tr>
      <w:tr w:rsidR="002C55CB" w:rsidRPr="002C55CB" w14:paraId="01F876E3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4FE13A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Substance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F8BB293" w14:textId="67B5A092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11018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Specifications &amp; Reference Standards</w:t>
            </w:r>
          </w:p>
          <w:p w14:paraId="7C75930E" w14:textId="20736C35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90780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Salt Investigation</w:t>
            </w:r>
          </w:p>
          <w:p w14:paraId="7EDCE71F" w14:textId="67EAD4FD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784155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Determination of spectral data</w:t>
            </w:r>
          </w:p>
          <w:p w14:paraId="7A37379E" w14:textId="0116D849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89397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Stability studies (forced degradation studies)</w:t>
            </w:r>
          </w:p>
          <w:p w14:paraId="79311633" w14:textId="61AC6CF3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67758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Moisture absorption</w:t>
            </w:r>
          </w:p>
          <w:p w14:paraId="659634FD" w14:textId="37421359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9637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Polymorph Investigation</w:t>
            </w:r>
          </w:p>
          <w:p w14:paraId="061A6327" w14:textId="12225A9F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62747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Particle size distribution</w:t>
            </w:r>
          </w:p>
          <w:p w14:paraId="5B26FABC" w14:textId="1719E148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06931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Determination of BCS Classification (solubility/permeability index)</w:t>
            </w:r>
          </w:p>
          <w:p w14:paraId="6E72F0E1" w14:textId="288E6FCB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36792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Kinetic/thermodynamic solubility evaluation</w:t>
            </w:r>
          </w:p>
          <w:p w14:paraId="7A92F3A6" w14:textId="4D846B6E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62334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Dissolution rate studies in biorelevant media</w:t>
            </w:r>
          </w:p>
          <w:p w14:paraId="3B96CB4C" w14:textId="3CC293C1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08021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Calculation of molecular weight</w:t>
            </w:r>
          </w:p>
          <w:p w14:paraId="722621FF" w14:textId="62ECCBF1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3138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Physical properties determination (</w:t>
            </w:r>
            <w:proofErr w:type="spellStart"/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cLogP</w:t>
            </w:r>
            <w:proofErr w:type="spellEnd"/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, H-bond donors, H-bond receptors, rotatable bonds, </w:t>
            </w:r>
            <w:proofErr w:type="spellStart"/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tPSA</w:t>
            </w:r>
            <w:proofErr w:type="spellEnd"/>
          </w:p>
          <w:p w14:paraId="51EA4DA3" w14:textId="61540DDF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6385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Determination of potential structural alerts in parent compound</w:t>
            </w:r>
          </w:p>
          <w:p w14:paraId="6245D360" w14:textId="55DB9D5C" w:rsidR="002C55CB" w:rsidRPr="002C55CB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3418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Determination of formulation for GLP studies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BCAE98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Set phase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 DS specifications and qualify standards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26EEB1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Specs aligned to ICH Q6A; standard COA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43CB60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Q6A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82015F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Plan </w:t>
            </w:r>
            <w:proofErr w:type="gram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tightening</w:t>
            </w:r>
            <w:proofErr w:type="gram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by Phase II/III</w:t>
            </w:r>
          </w:p>
        </w:tc>
      </w:tr>
      <w:tr w:rsidR="002C55CB" w:rsidRPr="002C55CB" w14:paraId="33CE8F22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8C3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Product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6109" w14:textId="187EC74D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50320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Formulation Development &amp; Excipient Compatibility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855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Identify a stable, clinically suitable DP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2F6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 significant interaction/degradation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0DA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FDA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Preformulation</w:t>
            </w:r>
            <w:proofErr w:type="spell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; ICH Q8 (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QbD</w:t>
            </w:r>
            <w:proofErr w:type="spell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C97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Screen pH, heat, humidity</w:t>
            </w:r>
          </w:p>
        </w:tc>
      </w:tr>
      <w:tr w:rsidR="002C55CB" w:rsidRPr="002C55CB" w14:paraId="3ABC4E4E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655C81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Product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3EB0CA6" w14:textId="0D78DA6A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6065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Prototype DP Characterization (Dissolution, Content Uniformity)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B512FC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Demonstrate performance and dose uniformity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4A26EF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Dissolution per USP &lt;711&gt;; CU within ±15% (early)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687976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Q6A; USP &lt;711&gt;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AC8219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Align with intended route</w:t>
            </w:r>
          </w:p>
        </w:tc>
      </w:tr>
      <w:tr w:rsidR="002C55CB" w:rsidRPr="002C55CB" w14:paraId="43AF417D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AA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Product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3996" w14:textId="4DDA6EB9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0436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Stability – Accelerated/Stress/Photostability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2D4C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Map degradation pathways and estimate shelf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life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958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Defined pathways; preliminary shelf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life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0D0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Q1A(R2); ICH Q1B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9D7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Include humidity stress</w:t>
            </w:r>
          </w:p>
        </w:tc>
      </w:tr>
      <w:tr w:rsidR="002C55CB" w:rsidRPr="002C55CB" w14:paraId="7B5FA9DA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5702F0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Technical/CMC – Drug Product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BC8F87C" w14:textId="6F87CA36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06385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Container/Closure Compatibility &amp; E/L Risk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7F177D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Ensure compatibility and minimize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leachables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58EBE2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 adverse E/L risk (phase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020E81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USP &lt;1664&gt;; FDA E/L considerations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9743D4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Plan full E/L later if needed</w:t>
            </w:r>
          </w:p>
        </w:tc>
      </w:tr>
      <w:tr w:rsidR="002C55CB" w:rsidRPr="002C55CB" w14:paraId="1A66A5AE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011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Bioanalytical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852F" w14:textId="00454AE6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69246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LC–MS/MS Method Development &amp; Phase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appropriate Validation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392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drug in plasma/serum for PK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BE1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Accuracy/precision within ±15% (±20% at LLOQ)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6CE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Bioanalytical Method Validation Guidance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91E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matrix effects and stability</w:t>
            </w:r>
          </w:p>
        </w:tc>
      </w:tr>
      <w:tr w:rsidR="002C55CB" w:rsidRPr="002C55CB" w14:paraId="0A8828FB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EEED37C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Pharmacology – Primary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B341CA1" w14:textId="6F0B6364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868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Target Engagement &amp; In vitro Pharmacology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93B2B9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Confirm pharmacological activity at intended target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E036D2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 concerning off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target hits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47E9D2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S7A/S7B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860898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Prioritize cardiovascular (QT) risk per S7B</w:t>
            </w:r>
          </w:p>
        </w:tc>
      </w:tr>
      <w:tr w:rsidR="002C55CB" w:rsidRPr="002C55CB" w14:paraId="51D4FB7F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D61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Pharmacology – Primary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E177" w14:textId="4AEAB743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63722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 vivo Pharmacology / Dose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Response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5E4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Demonstrate efficacy in relevant animal model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D80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 unsafe acute effects at relevant exposures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951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S7A; S7B (QT/QTc)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C2A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May align with tox studies</w:t>
            </w:r>
          </w:p>
        </w:tc>
      </w:tr>
      <w:tr w:rsidR="002C55CB" w:rsidRPr="002C55CB" w14:paraId="28EDC70A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2C122E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Animal Efficacy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6641995" w14:textId="37A02110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2237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Proof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of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Concept Efficacy in Relevant Model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9364F1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Demonstrate biological effect consistent with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385A0E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Statistically significant efficacy; biomarker changes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87A1BD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S7A; FDA nonclinical guidance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F8A550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Include dose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response and exposure mapping</w:t>
            </w:r>
          </w:p>
        </w:tc>
      </w:tr>
      <w:tr w:rsidR="002C55CB" w:rsidRPr="002C55CB" w14:paraId="11E8241B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931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PK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A5A2" w14:textId="428B89E6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13413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Single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Dose PK (IV and clinical route)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0E3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Characterize exposure and clearance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4AE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Cmax</w:t>
            </w:r>
            <w:proofErr w:type="spell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,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Tmax</w:t>
            </w:r>
            <w:proofErr w:type="spell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, AUC, CL, t1/2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16E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Pharmacology/Toxicology; ICH M3(R2) timing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72C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Use bioanalytical validated for purpose</w:t>
            </w:r>
          </w:p>
        </w:tc>
      </w:tr>
      <w:tr w:rsidR="002C55CB" w:rsidRPr="002C55CB" w14:paraId="27524D95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1BDCD2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PK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973B3CC" w14:textId="098E7776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53657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Repeat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Dose PK (aligned to tox)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6C56B2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accumulation/steady state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EACB36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Accumulation ratio; steady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state parameters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26B300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M3(R2)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51EBD5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Embed in repeat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dose tox</w:t>
            </w:r>
          </w:p>
        </w:tc>
      </w:tr>
      <w:tr w:rsidR="002C55CB" w:rsidRPr="002C55CB" w14:paraId="07AD2647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0F9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Toxicology – Context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F21E" w14:textId="46D36C23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32249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Genotoxicity Battery (Ames + Chromosomal)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2FB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mutagenic potential prior to FIH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FF2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Negative/acceptable per ICH S2(R1)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6C0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S2(R1)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9DC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Required before FIH</w:t>
            </w:r>
          </w:p>
        </w:tc>
      </w:tr>
      <w:tr w:rsidR="002C55CB" w:rsidRPr="002C55CB" w14:paraId="4A0344DC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8A227B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Toxicology – Context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FDB8C77" w14:textId="407237D1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3152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Safety Pharmacology – QTc (in vitro </w:t>
            </w:r>
            <w:proofErr w:type="spellStart"/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hERG</w:t>
            </w:r>
            <w:proofErr w:type="spellEnd"/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; in vivo ECG)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4A883C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Evaluate proarrhythmic risk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FD3BFD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 clinically relevant QT prolongation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972B3B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S7B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064E71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Inform clinical ECG monitoring</w:t>
            </w:r>
          </w:p>
        </w:tc>
      </w:tr>
      <w:tr w:rsidR="002C55CB" w:rsidRPr="002C55CB" w14:paraId="778730C1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996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ADME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79A2" w14:textId="433401C1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45802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Mass Balance/Excretion (radiolabeled where feasible)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E95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excretion routes and recovery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458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% dose recovered; route distribution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629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ADME expectations; ICH M3(R2)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780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Support human dose and DDI planning</w:t>
            </w:r>
          </w:p>
        </w:tc>
      </w:tr>
      <w:tr w:rsidR="002C55CB" w:rsidRPr="002C55CB" w14:paraId="16B3CCB0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8664D4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ADME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7AE9B3E" w14:textId="5C478604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73372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Metabolite ID &amp; Profiling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086713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Identify and quantify major metabolites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0B12C3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Metabolite structures; coverage of ≥90% radioactivity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7F9CB2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M3(R2); FDA MIST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4F2EE7C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human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noBreakHyphen/>
              <w:t>unique or disproportionate metabolites</w:t>
            </w:r>
          </w:p>
        </w:tc>
      </w:tr>
      <w:tr w:rsidR="002C55CB" w:rsidRPr="002C55CB" w14:paraId="520CE9DE" w14:textId="77777777" w:rsidTr="000D0A3E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33E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ADME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2DEE" w14:textId="25B3D85A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9036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Tissue Distribution (as needed)</w:t>
            </w:r>
          </w:p>
          <w:p w14:paraId="71314A3C" w14:textId="7C490F3D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70323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Caco-2 Permeability</w:t>
            </w:r>
          </w:p>
          <w:p w14:paraId="5389BE18" w14:textId="2ECB248C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75943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Protein Binding across species</w:t>
            </w:r>
          </w:p>
          <w:p w14:paraId="22809292" w14:textId="24D83927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87952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CYP Inhibition</w:t>
            </w:r>
          </w:p>
          <w:p w14:paraId="107C2764" w14:textId="42A72764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56949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Microsomal Stability</w:t>
            </w:r>
          </w:p>
          <w:p w14:paraId="43248DF5" w14:textId="2F86C825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3860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Hepatocyte Stability</w:t>
            </w:r>
          </w:p>
          <w:p w14:paraId="7C8DA70E" w14:textId="65589C1D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84784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Plasma Stability across species</w:t>
            </w:r>
          </w:p>
          <w:p w14:paraId="433D7DA2" w14:textId="7079AC6B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20830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PXR Induction (potential induction of human P450 enzymes)</w:t>
            </w:r>
          </w:p>
          <w:p w14:paraId="1FE07D70" w14:textId="4635AF7F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89672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P450 Induction (CYP Induction in human hepatocytes)</w:t>
            </w:r>
          </w:p>
          <w:p w14:paraId="578B1FAD" w14:textId="41F0FEDA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62689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Metabolite Identification across species</w:t>
            </w:r>
          </w:p>
          <w:p w14:paraId="0720CD84" w14:textId="7C3E6701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07789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Reactivity (determination of reactive functionalities in drug or metabolites)</w:t>
            </w:r>
          </w:p>
          <w:p w14:paraId="44CBC361" w14:textId="639D7D52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99876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PK across nonclinical species (including clearance, Cmax and bioavailability)</w:t>
            </w:r>
          </w:p>
          <w:p w14:paraId="1D44043A" w14:textId="6649DE6C" w:rsidR="00525B7A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11865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Enzyme Induction Study (multiple dosing in rats for 7-14 days)</w:t>
            </w:r>
          </w:p>
          <w:p w14:paraId="0A943F6C" w14:textId="773634F3" w:rsidR="002C55CB" w:rsidRPr="002C55CB" w:rsidRDefault="00000000" w:rsidP="00525B7A">
            <w:pPr>
              <w:spacing w:after="8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28172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PK in higher animal (including clearance, Cmax and bioavailability)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DA8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target organ exposure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C4D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Tissue concentration vs plasma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246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nonclinical guidance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608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Support efficacy/tox interpretation</w:t>
            </w:r>
          </w:p>
        </w:tc>
      </w:tr>
    </w:tbl>
    <w:p w14:paraId="1EFADE65" w14:textId="7433C496" w:rsidR="002C55CB" w:rsidRDefault="002C55CB">
      <w:pPr>
        <w:rPr>
          <w:sz w:val="14"/>
          <w:szCs w:val="14"/>
        </w:rPr>
      </w:pPr>
    </w:p>
    <w:sectPr w:rsidR="002C55CB" w:rsidSect="002C55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B4"/>
    <w:rsid w:val="0000491D"/>
    <w:rsid w:val="000D0A3E"/>
    <w:rsid w:val="00182F51"/>
    <w:rsid w:val="001B4B54"/>
    <w:rsid w:val="00220D66"/>
    <w:rsid w:val="00236C5D"/>
    <w:rsid w:val="0028379B"/>
    <w:rsid w:val="002C55CB"/>
    <w:rsid w:val="00466999"/>
    <w:rsid w:val="004D39F7"/>
    <w:rsid w:val="005135DE"/>
    <w:rsid w:val="00525B7A"/>
    <w:rsid w:val="00621668"/>
    <w:rsid w:val="006E4545"/>
    <w:rsid w:val="00723327"/>
    <w:rsid w:val="00790FF1"/>
    <w:rsid w:val="008C5450"/>
    <w:rsid w:val="00964A83"/>
    <w:rsid w:val="009F5687"/>
    <w:rsid w:val="00A5143A"/>
    <w:rsid w:val="00AF55FF"/>
    <w:rsid w:val="00BB27B4"/>
    <w:rsid w:val="00C11612"/>
    <w:rsid w:val="00C12FA9"/>
    <w:rsid w:val="00C65ED5"/>
    <w:rsid w:val="00C715F0"/>
    <w:rsid w:val="00D41618"/>
    <w:rsid w:val="00E4087E"/>
    <w:rsid w:val="00EE3791"/>
    <w:rsid w:val="00F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23F5"/>
  <w15:chartTrackingRefBased/>
  <w15:docId w15:val="{39880771-C5D8-41EF-8D76-0E998E14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cp:lastPrinted>2026-01-16T16:39:00Z</cp:lastPrinted>
  <dcterms:created xsi:type="dcterms:W3CDTF">2026-01-12T20:32:00Z</dcterms:created>
  <dcterms:modified xsi:type="dcterms:W3CDTF">2026-08-03T22:02:00Z</dcterms:modified>
</cp:coreProperties>
</file>